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46" w:rsidRDefault="00AC7D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ВКЛАД ГЕОЛОГА И ПАЛЕОНТОЛОГА А. Н. РЯБИНИНА </w:t>
      </w:r>
    </w:p>
    <w:p w:rsidR="00AC7D46" w:rsidRDefault="00AC7D46" w:rsidP="008A26BB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ИЗУЧЕНИЕ ПРИРОДНОГО НАСЛЕДИЯ ПРИАМУРЬЯ</w:t>
      </w:r>
    </w:p>
    <w:p w:rsidR="00AC7D46" w:rsidRDefault="00AC7D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46" w:rsidRPr="008A26BB" w:rsidRDefault="00B031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Ермацанс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2095F">
        <w:rPr>
          <w:rFonts w:ascii="Times New Roman" w:hAnsi="Times New Roman" w:cs="Times New Roman"/>
          <w:b/>
          <w:bCs/>
          <w:sz w:val="28"/>
          <w:szCs w:val="28"/>
        </w:rPr>
        <w:t xml:space="preserve">к. филос. </w:t>
      </w:r>
      <w:proofErr w:type="gramStart"/>
      <w:r w:rsidR="00F2095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AC7D46" w:rsidRPr="008A26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7D46" w:rsidRDefault="00AC7D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A75">
        <w:rPr>
          <w:rFonts w:ascii="Times New Roman" w:hAnsi="Times New Roman" w:cs="Times New Roman"/>
          <w:sz w:val="28"/>
          <w:szCs w:val="28"/>
        </w:rPr>
        <w:t>Амурск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1A75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B1A75">
        <w:rPr>
          <w:rFonts w:ascii="Times New Roman" w:hAnsi="Times New Roman" w:cs="Times New Roman"/>
          <w:sz w:val="28"/>
          <w:szCs w:val="28"/>
        </w:rPr>
        <w:t xml:space="preserve"> центр Дальневосточного отделения РАН</w:t>
      </w:r>
    </w:p>
    <w:p w:rsidR="00AC7D46" w:rsidRDefault="00AC7D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1A75">
        <w:rPr>
          <w:rFonts w:ascii="Times New Roman" w:hAnsi="Times New Roman" w:cs="Times New Roman"/>
          <w:sz w:val="28"/>
          <w:szCs w:val="28"/>
        </w:rPr>
        <w:t>алеонтологический музей</w:t>
      </w:r>
    </w:p>
    <w:p w:rsidR="00AC7D46" w:rsidRDefault="00AC7D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AC7D46" w:rsidRDefault="00AC7D46">
      <w:pPr>
        <w:tabs>
          <w:tab w:val="left" w:pos="567"/>
        </w:tabs>
        <w:spacing w:after="0" w:line="240" w:lineRule="auto"/>
        <w:jc w:val="right"/>
        <w:rPr>
          <w:sz w:val="28"/>
          <w:szCs w:val="28"/>
        </w:rPr>
      </w:pPr>
    </w:p>
    <w:p w:rsidR="00AC7D46" w:rsidRDefault="00AC7D4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D46" w:rsidRDefault="00AC7D46" w:rsidP="008A26BB">
      <w:pPr>
        <w:pStyle w:val="af3"/>
        <w:tabs>
          <w:tab w:val="left" w:pos="567"/>
        </w:tabs>
        <w:spacing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>Анатолий Николаевич Рябинин (1874–1942), выдающийся геолог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леонтолог, крупный специалист в области ископаемых позвоночных, никогда не бывал в Приамурье. И, тем не менее, он внес вклад в освоение и изучение его природного наследия, в освоение нового и для мировой, и для российской науки знания. Возможным это стало благодаря его настойчивости в развитии и продвижении идеи исследования динозавров в данном регионе. Не всегда идеи, возникавшие в ходе освоения Приамурья, были успешными и довод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до реализации. Идея изучения динозавров в России (на амурском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риале) оказалось в числе успешных. За период с 1908 по 1915 г. у А.Н. Ряб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нина вышел ряд статей об ископаемых позвоночных (дельфине, плезиоза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рах, ихтиозаврах, стегоцефале, динозавре). Статья о динозавре касалась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достоверной находки (1912) этих наземных рептилий в России (Забайк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лье), а также была первой работой российского ученого о динозаврах (1914). С историей Приамурья его связала находка, переданная с р. Амур и </w:t>
      </w:r>
      <w:proofErr w:type="spellStart"/>
      <w:r>
        <w:rPr>
          <w:sz w:val="28"/>
          <w:szCs w:val="28"/>
        </w:rPr>
        <w:t>атриб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тированная</w:t>
      </w:r>
      <w:proofErr w:type="spellEnd"/>
      <w:r>
        <w:rPr>
          <w:sz w:val="28"/>
          <w:szCs w:val="28"/>
        </w:rPr>
        <w:t xml:space="preserve"> им как кость динозавра (1915).  </w:t>
      </w:r>
    </w:p>
    <w:p w:rsidR="00AC7D46" w:rsidRDefault="00AC7D46" w:rsidP="008A26BB">
      <w:pPr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в Приамурье ископаемые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остатки динозавров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 обнаруж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ны Федором Богдановичем Шмидтом в 1859 г. на правом берегу р. Амур (м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стонахождение Белые Кручи, китайское название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Лунгушань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ныне уезд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Цзяинь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провинции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Хэйлунцзян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Китай), но приняты за кости млекопита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щих </w:t>
      </w:r>
      <w:r w:rsidRPr="001F4C7C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F4C7C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Вторично это местонахождение было открыто в 1902 г. полковником Генерального Штаба М.М.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Манакиным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 первое описание сделано Г.Ф. Б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лоусовым, членом Приамурского отдела Императорского русского географ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ческого общества (1902).  </w:t>
      </w:r>
    </w:p>
    <w:p w:rsidR="00AC7D46" w:rsidRDefault="00AC7D46" w:rsidP="008A26BB">
      <w:pPr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1915 г. образец</w:t>
      </w:r>
      <w:r w:rsidRPr="00FC7F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р. Амур изучал А.Н. Рябинин. Привез его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адьюнкт-геолог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Геолкома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Африкан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Николаевич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Криштофович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впоследствии извес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ный палеоботаник, а нашел и передал ему амурский археолог-любитель Алексей Яковлевич Гуров.  Эта кость чрезвычайно заинтересовала Анатолия Николаевича. Он определил ее как большую берцовую кость динозавра. По его представлению Геологический Комитет (далее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Геолком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поручил Влад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миру Павловичу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Ренгартену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исследовать место обнаружения костных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динозавров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р. Амур. Зимой 1915-1916 года он осмотрел, составил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 обнажения и собрал коллекции ископаемой флоры из туфов горы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бовский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Богучан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7D46" w:rsidRDefault="00AC7D46" w:rsidP="008A26BB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Данные предварительных исследований позволили А.Н. Рябинину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 командировать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палеонт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логических раскопок летом 1916 г. на р. Амур штатного препаратора Н.П. Степанова. Результаты раскопок он представил 13 января 1917 г. в докладе «Динозавры с р. Амура» на годовом заседании Русского палеонтологическ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общества </w:t>
      </w:r>
      <w:r w:rsidRPr="004306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06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Здесь ученый впервые высказал мысль, подтвержденную дальнейшими исследованиями – «возраст свиты конгломератов, песков и песчаников с динозаврами – верхнемеловой, причем 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динозавров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весьма сходны с остатками динозавров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Trachodontidae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соответственнаго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из Сев. Америки» [4, с. 129].   Его выступление вызвало живой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терес, а желание продолжить раскопки нашло поддержку. Следующим шагом стало обращение в Присутствие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раскопки на р. Амур,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считанные на два-три месяца, в проект работ  на 1917 г. Предложение 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лия Николаевича представил Присутствию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 Иван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вич Богданович, который отметил следующее: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«Первоначальные раскопки на р. Амуре, произведенные летом 1916 года в течение 10 дней препаратором Геологического комитета Степановым с целью поисков остатков динозавров, доставили Комитету настолько значительный материал, что на основании его А.Н. Рябинину удалось определить принадлежность остатков к двум типам </w:t>
      </w:r>
      <w:r>
        <w:rPr>
          <w:rFonts w:ascii="Times New Roman" w:hAnsi="Times New Roman" w:cs="Times New Roman"/>
          <w:sz w:val="28"/>
          <w:szCs w:val="28"/>
        </w:rPr>
        <w:lastRenderedPageBreak/>
        <w:t>динозавров (хищников и травоядных) и поставить вопрос о желательности монтировки этих остатков в Музее при Геологическом Комитете» [9,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21]. </w:t>
      </w:r>
      <w:proofErr w:type="gramEnd"/>
    </w:p>
    <w:p w:rsidR="00AC7D46" w:rsidRDefault="00AC7D46" w:rsidP="008A26B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было поддержано и палеонтологические работы на р. Амур продолжились летом 1917 г.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Итогом  раскопок 1916-1917 гг. стало и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влечение нескольких «десятков пудов костей динозавров» [11, с. 5]. Предв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рительные выводы по итогам работы с этими материалами Рябинин предст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вил в 1918 году. </w:t>
      </w:r>
      <w:r>
        <w:rPr>
          <w:rFonts w:ascii="Times New Roman" w:hAnsi="Times New Roman" w:cs="Times New Roman"/>
          <w:sz w:val="28"/>
          <w:szCs w:val="28"/>
        </w:rPr>
        <w:t>И, хотя за второй год экспедиции не удалось найти недо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тающие части скелета динозавра,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одолжение раскопок оказалось нево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можным из-за целого ряда внутри- и внешнеполитических событий 1917-1922 гг. Ископаемые костные материалы вывезли в Петроград, за 1918-1923 годы они были препарированы.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Но «изучить остатки животного или живо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ных, восстановить их скелет из разрозненных частей в возможно полном 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де и выставить его в Музее Геологического комитета» [11, с. 3] стало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можным после трехмесячной командировки в Германию, Бельгию, Англию в 1924 г., которая позволила ему сравнить материал, вывезенный из Приам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рья, с материалом европейских музеев</w:t>
      </w:r>
      <w:r w:rsidRPr="00F274AF">
        <w:rPr>
          <w:rFonts w:ascii="Times New Roman" w:hAnsi="Times New Roman" w:cs="Times New Roman"/>
          <w:sz w:val="28"/>
          <w:szCs w:val="28"/>
          <w:lang w:eastAsia="ru-RU"/>
        </w:rPr>
        <w:t xml:space="preserve"> [6]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AC7D46" w:rsidRDefault="00AC7D46" w:rsidP="008A26BB">
      <w:pPr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возвращения из командировки (январь 1925 г.), совместно с Н.П. Степановым и скульптором Я.М.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Эглоном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приступил к реставрации ск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лета динозавра. Кроме восстановления скелета, из гипса была выполнена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конструкция внешней формы животного примерно в 1/5 величины скелета </w:t>
      </w:r>
      <w:r w:rsidRPr="0043065F">
        <w:rPr>
          <w:rFonts w:ascii="Times New Roman" w:hAnsi="Times New Roman" w:cs="Times New Roman"/>
          <w:sz w:val="28"/>
          <w:szCs w:val="28"/>
          <w:lang w:eastAsia="ru-RU"/>
        </w:rPr>
        <w:t>[7]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открытом годовом заседании 1 февраля 1925 г. Анатолий Николаевич выступил с докладом, а затем представил в музее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Геолкома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(ныне </w:t>
      </w:r>
      <w:r w:rsidRPr="000055BD">
        <w:rPr>
          <w:rFonts w:ascii="Times New Roman" w:hAnsi="Times New Roman" w:cs="Times New Roman"/>
          <w:sz w:val="28"/>
          <w:szCs w:val="28"/>
        </w:rPr>
        <w:t>Централ</w:t>
      </w:r>
      <w:r w:rsidRPr="000055BD">
        <w:rPr>
          <w:rFonts w:ascii="Times New Roman" w:hAnsi="Times New Roman" w:cs="Times New Roman"/>
          <w:sz w:val="28"/>
          <w:szCs w:val="28"/>
        </w:rPr>
        <w:t>ь</w:t>
      </w:r>
      <w:r w:rsidRPr="000055BD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научно-исследовательский </w:t>
      </w:r>
      <w:r w:rsidRPr="000055BD">
        <w:rPr>
          <w:rFonts w:ascii="Times New Roman" w:hAnsi="Times New Roman" w:cs="Times New Roman"/>
          <w:sz w:val="28"/>
          <w:szCs w:val="28"/>
        </w:rPr>
        <w:t>геологоразведочный музей имени академика Ф.Н. Чернышева в Санкт-Петербурге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реконструкцию скелета динозавра, предварительно названого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Trachodon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amurense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nov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sp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6BB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A26BB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Позже (1930) д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нозавр был описан как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Mandschurosaurus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amurensis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[11]. </w:t>
      </w:r>
    </w:p>
    <w:p w:rsidR="00AC7D46" w:rsidRPr="009E0FC4" w:rsidRDefault="00AC7D46" w:rsidP="008A26BB">
      <w:pPr>
        <w:pStyle w:val="R"/>
        <w:spacing w:line="360" w:lineRule="auto"/>
        <w:rPr>
          <w:rStyle w:val="Chernushka"/>
          <w:rFonts w:ascii="Times New Roman" w:hAnsi="Times New Roman" w:cs="Times New Roman"/>
          <w:b w:val="0"/>
          <w:bCs w:val="0"/>
          <w:color w:val="auto"/>
        </w:rPr>
      </w:pP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Данные о динозавре из Приамурья появились и в Амурском облас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т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ном краеведческом музе, обновленная экспозиция которого стала досту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п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на для посетителей</w:t>
      </w:r>
      <w:r>
        <w:rPr>
          <w:rStyle w:val="Chernushka"/>
          <w:rFonts w:ascii="Times New Roman" w:hAnsi="Times New Roman" w:cs="Times New Roman"/>
          <w:b w:val="0"/>
          <w:bCs w:val="0"/>
          <w:color w:val="auto"/>
        </w:rPr>
        <w:t xml:space="preserve"> с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 xml:space="preserve"> 21 января 1941 года. Директор музея  Ф.А. Гурский в своей статье «По залам музея» в газете «</w:t>
      </w:r>
      <w:proofErr w:type="gramStart"/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Амурская</w:t>
      </w:r>
      <w:proofErr w:type="gramEnd"/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 xml:space="preserve"> правда» от 5 февраля 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lastRenderedPageBreak/>
        <w:t>писал: «В залах музея широко показаны природа, история Амурской о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б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 xml:space="preserve">ласти и социалистическое строительство. В отделе природы посетитель увидит окаменелые кости ископаемого животного </w:t>
      </w:r>
      <w:proofErr w:type="spellStart"/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траходона</w:t>
      </w:r>
      <w:proofErr w:type="spellEnd"/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, обитавшего в лесах Амурской области 300 000 лет тому назад [</w:t>
      </w:r>
      <w:r w:rsidRPr="009E0FC4">
        <w:rPr>
          <w:rStyle w:val="Chernushka"/>
          <w:rFonts w:ascii="Times New Roman" w:hAnsi="Times New Roman" w:cs="Times New Roman"/>
          <w:b w:val="0"/>
          <w:bCs w:val="0"/>
          <w:i/>
          <w:iCs/>
          <w:color w:val="auto"/>
        </w:rPr>
        <w:t xml:space="preserve">авт. – по современным данным 65,5 млн. л. </w:t>
      </w:r>
      <w:proofErr w:type="gramStart"/>
      <w:r w:rsidRPr="009E0FC4">
        <w:rPr>
          <w:rStyle w:val="Chernushka"/>
          <w:rFonts w:ascii="Times New Roman" w:hAnsi="Times New Roman" w:cs="Times New Roman"/>
          <w:b w:val="0"/>
          <w:bCs w:val="0"/>
          <w:i/>
          <w:iCs/>
          <w:color w:val="auto"/>
        </w:rPr>
        <w:t>н</w:t>
      </w:r>
      <w:proofErr w:type="gramEnd"/>
      <w:r w:rsidRPr="009E0FC4">
        <w:rPr>
          <w:rStyle w:val="Chernushka"/>
          <w:rFonts w:ascii="Times New Roman" w:hAnsi="Times New Roman" w:cs="Times New Roman"/>
          <w:b w:val="0"/>
          <w:bCs w:val="0"/>
          <w:i/>
          <w:iCs/>
          <w:color w:val="auto"/>
        </w:rPr>
        <w:t>.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]. Рядом выставлен рисунок, на котором показана громадная величина этого животного высотой 4,5 м и длиной 8 м.»</w:t>
      </w:r>
      <w:r w:rsidRPr="009E0FC4">
        <w:rPr>
          <w:rFonts w:ascii="Times New Roman" w:hAnsi="Times New Roman" w:cs="Times New Roman"/>
          <w:color w:val="auto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E0FC4">
        <w:rPr>
          <w:rFonts w:ascii="Times New Roman" w:hAnsi="Times New Roman" w:cs="Times New Roman"/>
          <w:color w:val="auto"/>
          <w:sz w:val="28"/>
          <w:szCs w:val="28"/>
        </w:rPr>
        <w:t>]</w:t>
      </w:r>
      <w:r w:rsidRPr="009E0FC4">
        <w:rPr>
          <w:rStyle w:val="Chernushka"/>
          <w:rFonts w:ascii="Times New Roman" w:hAnsi="Times New Roman" w:cs="Times New Roman"/>
          <w:b w:val="0"/>
          <w:bCs w:val="0"/>
          <w:color w:val="auto"/>
        </w:rPr>
        <w:t>.</w:t>
      </w:r>
    </w:p>
    <w:p w:rsidR="00AC7D46" w:rsidRDefault="00AC7D46" w:rsidP="008A26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Начатые Рябининым исследования, по верному замечанию Л.И. 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кова, послужили «толчком для более поздних палеозоологических открытий, как в Советском Союзе, так и за его пределами», [3, с. 95]: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Туркестане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(1921–1924), Казахстане (1923), центральной Индии (1917–1920), Монголии (1922–1925), Китае (1923) [6, 7]. С начала 1980-х гг., уже б</w:t>
      </w:r>
      <w:r>
        <w:rPr>
          <w:rFonts w:ascii="Times New Roman" w:hAnsi="Times New Roman" w:cs="Times New Roman"/>
          <w:sz w:val="28"/>
          <w:szCs w:val="28"/>
        </w:rPr>
        <w:t>олее тридцати лет,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пешные палеонтологические раскопки производятся в Амурской области, на территории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местонахождений меловых динозавров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Благовещенское,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саны утконосые динозавры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Amurosaurus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riabinini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Olorotitan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arharensis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Kerberosaurus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manakini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Kundurosaurus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nagornyi</w:t>
      </w:r>
      <w:proofErr w:type="spellEnd"/>
      <w:r>
        <w:rPr>
          <w:rFonts w:ascii="Times New Roman" w:hAnsi="Times New Roman" w:cs="Times New Roman"/>
          <w:sz w:val="28"/>
          <w:szCs w:val="28"/>
        </w:rPr>
        <w:t>), первые в России остатки панцирных динозавров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Nodosauridae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зауроподного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динозавра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Arkharavia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heterocoelica</w:t>
      </w:r>
      <w:proofErr w:type="spellEnd"/>
      <w:r>
        <w:rPr>
          <w:rFonts w:ascii="Times New Roman" w:hAnsi="Times New Roman" w:cs="Times New Roman"/>
          <w:sz w:val="28"/>
          <w:szCs w:val="28"/>
        </w:rPr>
        <w:t>) [1, 2, 6</w:t>
      </w:r>
      <w:r w:rsidRPr="00F274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065F">
        <w:rPr>
          <w:rFonts w:ascii="Times New Roman" w:hAnsi="Times New Roman" w:cs="Times New Roman"/>
          <w:sz w:val="28"/>
          <w:szCs w:val="28"/>
        </w:rPr>
        <w:t xml:space="preserve">, </w:t>
      </w:r>
      <w:r w:rsidRPr="00253081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AC7D46" w:rsidRDefault="00AC7D46" w:rsidP="008A26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можно с уверенностью сказать, что благодаря систематическим исследованиям по изучению костных останков динозавров, начало которым в России положил А.Н. Рябинин, Амурская область вошла в число территорий в России и в мире, обладающих этим удивительным природным наследием. </w:t>
      </w:r>
    </w:p>
    <w:p w:rsidR="00AC7D46" w:rsidRDefault="00AC7D46" w:rsidP="008A26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D46" w:rsidRDefault="00AC7D46" w:rsidP="008A26BB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C7D46" w:rsidRDefault="00AC7D46" w:rsidP="008A26BB">
      <w:pPr>
        <w:pStyle w:val="af1"/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Arkharavia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geterocoelica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завроподный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динозавр из верхнего мела Дальнего Востока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// Палеонтологический журнал. 2010, № 1. С. 76-83. </w:t>
      </w:r>
    </w:p>
    <w:p w:rsidR="00AC7D46" w:rsidRDefault="00AC7D46" w:rsidP="008A26BB">
      <w:pPr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Гадрозавры Приамурья // Геология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хоокеанского обрамления. Благовещенск, 1991. С. 94-103.</w:t>
      </w:r>
    </w:p>
    <w:p w:rsidR="00AC7D46" w:rsidRDefault="00AC7D46" w:rsidP="008A26BB">
      <w:pPr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Боровиков Л.И. Анатолий Николаевич Рябинин (1874-1942) // Выда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ученые Геологического комитета – ВСЕГЕИ: Сб. статей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Ред. А.П. Марковский. Л.: Наука, 1982. С. 79-108. </w:t>
      </w:r>
    </w:p>
    <w:p w:rsidR="00AC7D46" w:rsidRPr="00356C22" w:rsidRDefault="00AC7D46" w:rsidP="008A26BB">
      <w:pPr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56C2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Ежегодник Русского палеонтологического общества. Т.II. Петроград, 1918 (за 1917 г.). С.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 xml:space="preserve"> </w:t>
      </w:r>
      <w:r w:rsidRPr="00356C2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126–130.</w:t>
      </w:r>
    </w:p>
    <w:p w:rsidR="00AC7D46" w:rsidRDefault="00AC7D46" w:rsidP="008A26BB">
      <w:pPr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Ермацанс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И.А., 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Болотский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И.Ю. Палеонтологические исследования Амурской области (1859-1917) // Вестник ДВО РАН. Владивосток. 2013, №5. С. 159-167. </w:t>
      </w:r>
    </w:p>
    <w:p w:rsidR="00AC7D46" w:rsidRPr="00286677" w:rsidRDefault="00AC7D46" w:rsidP="008A26BB">
      <w:pPr>
        <w:pStyle w:val="af1"/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Ермацанс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И.А.,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Болотский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И.Ю.</w:t>
      </w:r>
      <w:r>
        <w:rPr>
          <w:rFonts w:ascii="Times New Roman" w:hAnsi="Times New Roman" w:cs="Times New Roman"/>
          <w:sz w:val="28"/>
          <w:szCs w:val="28"/>
        </w:rPr>
        <w:t xml:space="preserve"> Заграничный дневник (1924-1925)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леонтолога А.Н. Рябинина как источник естественнонаучной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К 100-летию изучения амурских динозавров // Вестник ДВО РАН. Владивосток, 2015, № 5. С. 162-170. </w:t>
      </w:r>
    </w:p>
    <w:p w:rsidR="00AC7D46" w:rsidRPr="00286677" w:rsidRDefault="00AC7D46" w:rsidP="008A26BB">
      <w:pPr>
        <w:pStyle w:val="af1"/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67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Ермацанс</w:t>
      </w:r>
      <w:proofErr w:type="spellEnd"/>
      <w:r w:rsidRPr="0028667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И.А., </w:t>
      </w:r>
      <w:proofErr w:type="spellStart"/>
      <w:r w:rsidRPr="0028667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Болотский</w:t>
      </w:r>
      <w:proofErr w:type="spellEnd"/>
      <w:r w:rsidRPr="0028667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И.Ю.</w:t>
      </w:r>
      <w:r w:rsidRPr="0028667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6677">
        <w:rPr>
          <w:rFonts w:ascii="Times New Roman" w:hAnsi="Times New Roman" w:cs="Times New Roman"/>
          <w:sz w:val="28"/>
          <w:szCs w:val="28"/>
        </w:rPr>
        <w:t xml:space="preserve">А.Н.Рябинин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6677">
        <w:rPr>
          <w:rFonts w:ascii="Times New Roman" w:hAnsi="Times New Roman" w:cs="Times New Roman"/>
          <w:sz w:val="28"/>
          <w:szCs w:val="28"/>
        </w:rPr>
        <w:t xml:space="preserve"> первый в России иссл</w:t>
      </w:r>
      <w:r w:rsidRPr="00286677">
        <w:rPr>
          <w:rFonts w:ascii="Times New Roman" w:hAnsi="Times New Roman" w:cs="Times New Roman"/>
          <w:sz w:val="28"/>
          <w:szCs w:val="28"/>
        </w:rPr>
        <w:t>е</w:t>
      </w:r>
      <w:r w:rsidRPr="00286677">
        <w:rPr>
          <w:rFonts w:ascii="Times New Roman" w:hAnsi="Times New Roman" w:cs="Times New Roman"/>
          <w:sz w:val="28"/>
          <w:szCs w:val="28"/>
        </w:rPr>
        <w:t>дователь динозавров // Природа. 2016, №11. С. 72-80.</w:t>
      </w:r>
    </w:p>
    <w:p w:rsidR="00AC7D46" w:rsidRDefault="00AC7D46" w:rsidP="008A26BB">
      <w:pPr>
        <w:pStyle w:val="af1"/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ГААО. Ф. 958. Оп. 1. Д. 132. Л. 6.</w:t>
      </w:r>
    </w:p>
    <w:p w:rsidR="00AC7D46" w:rsidRPr="00356C22" w:rsidRDefault="00AC7D46" w:rsidP="008A26BB">
      <w:pPr>
        <w:pStyle w:val="af1"/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C22">
        <w:rPr>
          <w:rFonts w:ascii="Times New Roman" w:hAnsi="Times New Roman" w:cs="Times New Roman"/>
          <w:sz w:val="28"/>
          <w:szCs w:val="28"/>
          <w:lang w:eastAsia="ru-RU"/>
        </w:rPr>
        <w:t>Известия Геологического комитета. 1926 (за 1917 г.). Т.36. С.21–22.</w:t>
      </w:r>
    </w:p>
    <w:p w:rsidR="00AC7D46" w:rsidRDefault="00AC7D46" w:rsidP="008A26BB">
      <w:pPr>
        <w:numPr>
          <w:ilvl w:val="0"/>
          <w:numId w:val="1"/>
        </w:numPr>
        <w:tabs>
          <w:tab w:val="left" w:pos="567"/>
          <w:tab w:val="left" w:pos="141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Рябинин А.Н. Реставрированный скелет исполинского ящера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Trachodon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amurense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Геол. комитета. 1925. Т. 44, № 1. С. 1–12.</w:t>
      </w:r>
    </w:p>
    <w:p w:rsidR="00AC7D46" w:rsidRDefault="00AC7D46" w:rsidP="008A26BB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Рябинин  А.Н.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Mandschurosaurus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amurensis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.,  верхнем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ловой  динозавр  с  р.  Амура: Монография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алеонтол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о-ва. Л., 1930а.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2. 36 с.</w:t>
      </w:r>
    </w:p>
    <w:p w:rsidR="00AC7D46" w:rsidRDefault="00AC7D46" w:rsidP="008A26B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В России впервые обн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панцирных динозавров // Природа. 2003. №3. С.69-70.</w:t>
      </w:r>
    </w:p>
    <w:p w:rsidR="00AC7D46" w:rsidRDefault="00AC7D46" w:rsidP="008A26BB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Godefroit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Bolotsky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Yu.,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Alifanov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 A remarkable hollow-crested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hadr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saur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Russia: an Asian origin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lambeosaurines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levol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2003, № 2.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. 143-151.</w:t>
      </w:r>
    </w:p>
    <w:p w:rsidR="00AC7D46" w:rsidRDefault="00AC7D46" w:rsidP="008A26B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Bolotsky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Y.L.,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Godefroit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A new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hadrosaurine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dinosaur from the Late Cr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taceous of Far Eastern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Russia  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Vertebrate Paleontology. 2004. Vol. 24.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. 354-368.</w:t>
      </w:r>
    </w:p>
    <w:p w:rsidR="00AC7D46" w:rsidRDefault="00AC7D46" w:rsidP="008A26B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Godefroit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Bolotsky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Y.L.,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Lauters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P. A new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saurolophine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dinosaur from the latest Cretaceous of Far Eastern Russia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ONE. 2012. Vol. 7.  № 5. P. 1-22.</w:t>
      </w:r>
    </w:p>
    <w:p w:rsidR="00AC7D46" w:rsidRDefault="00AC7D46" w:rsidP="008A26BB">
      <w:pPr>
        <w:tabs>
          <w:tab w:val="left" w:pos="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D46" w:rsidRDefault="00AC7D46" w:rsidP="008A26BB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D46" w:rsidRDefault="00AC7D46" w:rsidP="008A26BB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D46" w:rsidRDefault="00AC7D46" w:rsidP="008A26BB">
      <w:pPr>
        <w:tabs>
          <w:tab w:val="left" w:pos="0"/>
          <w:tab w:val="left" w:pos="567"/>
        </w:tabs>
        <w:spacing w:after="0" w:line="360" w:lineRule="auto"/>
        <w:rPr>
          <w:sz w:val="28"/>
          <w:szCs w:val="28"/>
        </w:rPr>
      </w:pPr>
    </w:p>
    <w:sectPr w:rsidR="00AC7D46" w:rsidSect="007B1A75">
      <w:pgSz w:w="11906" w:h="16838"/>
      <w:pgMar w:top="1134" w:right="851" w:bottom="1134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46" w:rsidRDefault="00AC7D46" w:rsidP="00E97ED9">
      <w:pPr>
        <w:spacing w:after="0" w:line="240" w:lineRule="auto"/>
      </w:pPr>
      <w:r>
        <w:separator/>
      </w:r>
    </w:p>
  </w:endnote>
  <w:endnote w:type="continuationSeparator" w:id="1">
    <w:p w:rsidR="00AC7D46" w:rsidRDefault="00AC7D46" w:rsidP="00E9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formC Bold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46" w:rsidRDefault="00AC7D46"/>
  </w:footnote>
  <w:footnote w:type="continuationSeparator" w:id="1">
    <w:p w:rsidR="00AC7D46" w:rsidRDefault="00AC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976"/>
    <w:multiLevelType w:val="multilevel"/>
    <w:tmpl w:val="A656D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D45819"/>
    <w:multiLevelType w:val="multilevel"/>
    <w:tmpl w:val="70609D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ED9"/>
    <w:rsid w:val="000055BD"/>
    <w:rsid w:val="00007A2F"/>
    <w:rsid w:val="00054829"/>
    <w:rsid w:val="00094FF6"/>
    <w:rsid w:val="000C63D6"/>
    <w:rsid w:val="00163426"/>
    <w:rsid w:val="001C08EC"/>
    <w:rsid w:val="001F4C7C"/>
    <w:rsid w:val="00253081"/>
    <w:rsid w:val="002766D0"/>
    <w:rsid w:val="00286677"/>
    <w:rsid w:val="002A189C"/>
    <w:rsid w:val="002C2B12"/>
    <w:rsid w:val="002F1991"/>
    <w:rsid w:val="0034106F"/>
    <w:rsid w:val="00356C22"/>
    <w:rsid w:val="00392854"/>
    <w:rsid w:val="003C1C5F"/>
    <w:rsid w:val="003F4A0A"/>
    <w:rsid w:val="0041100F"/>
    <w:rsid w:val="0043065F"/>
    <w:rsid w:val="00444454"/>
    <w:rsid w:val="00462BB5"/>
    <w:rsid w:val="00525733"/>
    <w:rsid w:val="00557BAE"/>
    <w:rsid w:val="00561846"/>
    <w:rsid w:val="00572824"/>
    <w:rsid w:val="00584C76"/>
    <w:rsid w:val="00606F54"/>
    <w:rsid w:val="006330C8"/>
    <w:rsid w:val="00635C58"/>
    <w:rsid w:val="006C4CAF"/>
    <w:rsid w:val="007B1A75"/>
    <w:rsid w:val="007D2F5B"/>
    <w:rsid w:val="007F773F"/>
    <w:rsid w:val="008313E9"/>
    <w:rsid w:val="0084577C"/>
    <w:rsid w:val="00845C7E"/>
    <w:rsid w:val="008814DA"/>
    <w:rsid w:val="008A26BB"/>
    <w:rsid w:val="008B3AD4"/>
    <w:rsid w:val="009609E1"/>
    <w:rsid w:val="009635EE"/>
    <w:rsid w:val="00967501"/>
    <w:rsid w:val="009E0FC4"/>
    <w:rsid w:val="00A8056F"/>
    <w:rsid w:val="00AC7D46"/>
    <w:rsid w:val="00B0311E"/>
    <w:rsid w:val="00B954D7"/>
    <w:rsid w:val="00BA0CEE"/>
    <w:rsid w:val="00BA1D7C"/>
    <w:rsid w:val="00BB256D"/>
    <w:rsid w:val="00BD463E"/>
    <w:rsid w:val="00C8688E"/>
    <w:rsid w:val="00C91638"/>
    <w:rsid w:val="00CA42FF"/>
    <w:rsid w:val="00CC735C"/>
    <w:rsid w:val="00D2229B"/>
    <w:rsid w:val="00D8084E"/>
    <w:rsid w:val="00DC6BD3"/>
    <w:rsid w:val="00E23CE9"/>
    <w:rsid w:val="00E54C0A"/>
    <w:rsid w:val="00E97ED9"/>
    <w:rsid w:val="00F2095F"/>
    <w:rsid w:val="00F274AF"/>
    <w:rsid w:val="00F64CD8"/>
    <w:rsid w:val="00F86F4B"/>
    <w:rsid w:val="00F91885"/>
    <w:rsid w:val="00FA0023"/>
    <w:rsid w:val="00FC7FAC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FA0023"/>
    <w:rPr>
      <w:color w:val="0000FF"/>
      <w:u w:val="single"/>
    </w:rPr>
  </w:style>
  <w:style w:type="character" w:styleId="a3">
    <w:name w:val="FollowedHyperlink"/>
    <w:basedOn w:val="a0"/>
    <w:uiPriority w:val="99"/>
    <w:semiHidden/>
    <w:rsid w:val="00FA0023"/>
    <w:rPr>
      <w:color w:val="800080"/>
      <w:u w:val="single"/>
    </w:rPr>
  </w:style>
  <w:style w:type="character" w:styleId="a4">
    <w:name w:val="Emphasis"/>
    <w:basedOn w:val="a0"/>
    <w:uiPriority w:val="99"/>
    <w:qFormat/>
    <w:locked/>
    <w:rsid w:val="00FA0023"/>
    <w:rPr>
      <w:i/>
      <w:iCs/>
    </w:rPr>
  </w:style>
  <w:style w:type="character" w:customStyle="1" w:styleId="ListLabel1">
    <w:name w:val="ListLabel 1"/>
    <w:uiPriority w:val="99"/>
    <w:rsid w:val="00E97ED9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uiPriority w:val="99"/>
    <w:rsid w:val="00E97ED9"/>
    <w:rPr>
      <w:i/>
      <w:iCs/>
    </w:rPr>
  </w:style>
  <w:style w:type="character" w:styleId="a5">
    <w:name w:val="footnote reference"/>
    <w:basedOn w:val="a0"/>
    <w:uiPriority w:val="99"/>
    <w:semiHidden/>
    <w:rsid w:val="00E97ED9"/>
    <w:rPr>
      <w:vertAlign w:val="superscript"/>
    </w:rPr>
  </w:style>
  <w:style w:type="character" w:customStyle="1" w:styleId="a6">
    <w:name w:val="Символ сноски"/>
    <w:uiPriority w:val="99"/>
    <w:rsid w:val="00E97ED9"/>
  </w:style>
  <w:style w:type="character" w:customStyle="1" w:styleId="a7">
    <w:name w:val="Привязка сноски"/>
    <w:uiPriority w:val="99"/>
    <w:rsid w:val="00E97ED9"/>
    <w:rPr>
      <w:vertAlign w:val="superscript"/>
    </w:rPr>
  </w:style>
  <w:style w:type="character" w:customStyle="1" w:styleId="a8">
    <w:name w:val="Привязка концевой сноски"/>
    <w:uiPriority w:val="99"/>
    <w:rsid w:val="00E97ED9"/>
    <w:rPr>
      <w:vertAlign w:val="superscript"/>
    </w:rPr>
  </w:style>
  <w:style w:type="character" w:customStyle="1" w:styleId="a9">
    <w:name w:val="Символы концевой сноски"/>
    <w:uiPriority w:val="99"/>
    <w:rsid w:val="00E97ED9"/>
  </w:style>
  <w:style w:type="paragraph" w:customStyle="1" w:styleId="aa">
    <w:name w:val="Заголовок"/>
    <w:basedOn w:val="a"/>
    <w:next w:val="ab"/>
    <w:uiPriority w:val="99"/>
    <w:rsid w:val="00E97ED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b">
    <w:name w:val="Body Text"/>
    <w:basedOn w:val="a"/>
    <w:link w:val="ac"/>
    <w:uiPriority w:val="99"/>
    <w:rsid w:val="00E97ED9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F3E74"/>
    <w:rPr>
      <w:rFonts w:cs="Calibri"/>
      <w:lang w:eastAsia="en-US"/>
    </w:rPr>
  </w:style>
  <w:style w:type="paragraph" w:styleId="ad">
    <w:name w:val="List"/>
    <w:basedOn w:val="ab"/>
    <w:uiPriority w:val="99"/>
    <w:rsid w:val="00E97ED9"/>
  </w:style>
  <w:style w:type="paragraph" w:styleId="ae">
    <w:name w:val="Title"/>
    <w:basedOn w:val="a"/>
    <w:link w:val="af"/>
    <w:uiPriority w:val="99"/>
    <w:qFormat/>
    <w:rsid w:val="00E97ED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F3E7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FA0023"/>
    <w:pPr>
      <w:ind w:left="220" w:hanging="220"/>
    </w:pPr>
  </w:style>
  <w:style w:type="paragraph" w:styleId="af0">
    <w:name w:val="index heading"/>
    <w:basedOn w:val="a"/>
    <w:uiPriority w:val="99"/>
    <w:semiHidden/>
    <w:rsid w:val="00E97ED9"/>
    <w:pPr>
      <w:suppressLineNumbers/>
    </w:pPr>
  </w:style>
  <w:style w:type="paragraph" w:styleId="af1">
    <w:name w:val="List Paragraph"/>
    <w:basedOn w:val="a"/>
    <w:uiPriority w:val="99"/>
    <w:qFormat/>
    <w:rsid w:val="00FA0023"/>
    <w:pPr>
      <w:ind w:left="720"/>
    </w:pPr>
  </w:style>
  <w:style w:type="paragraph" w:customStyle="1" w:styleId="af2">
    <w:name w:val="Сноска"/>
    <w:basedOn w:val="a"/>
    <w:uiPriority w:val="99"/>
    <w:rsid w:val="00E97ED9"/>
  </w:style>
  <w:style w:type="paragraph" w:styleId="af3">
    <w:name w:val="Normal (Web)"/>
    <w:basedOn w:val="a"/>
    <w:uiPriority w:val="99"/>
    <w:rsid w:val="00E97E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E97ED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F3E74"/>
    <w:rPr>
      <w:rFonts w:cs="Calibri"/>
      <w:sz w:val="20"/>
      <w:szCs w:val="20"/>
      <w:lang w:eastAsia="en-US"/>
    </w:rPr>
  </w:style>
  <w:style w:type="paragraph" w:customStyle="1" w:styleId="R">
    <w:name w:val="R_Основной"/>
    <w:basedOn w:val="a"/>
    <w:next w:val="a"/>
    <w:uiPriority w:val="99"/>
    <w:rsid w:val="00BA1D7C"/>
    <w:pPr>
      <w:autoSpaceDE w:val="0"/>
      <w:autoSpaceDN w:val="0"/>
      <w:adjustRightInd w:val="0"/>
      <w:spacing w:after="0" w:line="229" w:lineRule="atLeast"/>
      <w:ind w:firstLine="567"/>
      <w:jc w:val="both"/>
      <w:textAlignment w:val="center"/>
    </w:pPr>
    <w:rPr>
      <w:rFonts w:ascii="Arial" w:eastAsia="SimSun" w:hAnsi="Arial" w:cs="Arial"/>
      <w:color w:val="FFFFFF"/>
      <w:sz w:val="23"/>
      <w:szCs w:val="23"/>
      <w:lang w:eastAsia="zh-CN"/>
    </w:rPr>
  </w:style>
  <w:style w:type="character" w:customStyle="1" w:styleId="Chernushka">
    <w:name w:val="Chernushka"/>
    <w:uiPriority w:val="99"/>
    <w:rsid w:val="00BA1D7C"/>
    <w:rPr>
      <w:rFonts w:ascii="InformC Bold Cyrillic" w:hAnsi="InformC Bold Cyrillic" w:cs="InformC Bold Cyrillic"/>
      <w:b/>
      <w:bCs/>
      <w:spacing w:val="6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6</Pages>
  <Words>1280</Words>
  <Characters>8173</Characters>
  <Application>Microsoft Office Word</Application>
  <DocSecurity>0</DocSecurity>
  <Lines>68</Lines>
  <Paragraphs>18</Paragraphs>
  <ScaleCrop>false</ScaleCrop>
  <Company>Microsoft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dcterms:created xsi:type="dcterms:W3CDTF">2015-11-18T05:47:00Z</dcterms:created>
  <dcterms:modified xsi:type="dcterms:W3CDTF">2016-12-27T00:25:00Z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